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65999" w14:textId="788C02B5" w:rsidR="002B34D7" w:rsidRPr="00343CF1" w:rsidRDefault="002B34D7" w:rsidP="002B34D7">
      <w:pPr>
        <w:tabs>
          <w:tab w:val="center" w:pos="4536"/>
          <w:tab w:val="right" w:pos="8280"/>
          <w:tab w:val="right" w:pos="9639"/>
        </w:tabs>
        <w:ind w:right="2"/>
        <w:rPr>
          <w:rFonts w:ascii="Arial" w:eastAsia="MS Mincho" w:hAnsi="Arial" w:cs="Arial"/>
          <w:b/>
          <w:bCs/>
          <w:sz w:val="28"/>
          <w:lang w:val="en-US"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343CF1" w:rsidRPr="00343CF1">
        <w:rPr>
          <w:rFonts w:ascii="Arial" w:eastAsia="MS Mincho" w:hAnsi="Arial" w:cs="Arial"/>
          <w:b/>
          <w:bCs/>
          <w:sz w:val="28"/>
          <w:lang w:eastAsia="ja-JP"/>
        </w:rPr>
        <w:t>R1-1904512</w:t>
      </w:r>
      <w:bookmarkStart w:id="0" w:name="_GoBack"/>
      <w:bookmarkEnd w:id="0"/>
    </w:p>
    <w:p w14:paraId="6117F29C" w14:textId="77777777" w:rsidR="002B34D7" w:rsidRPr="009513AC" w:rsidRDefault="002B34D7" w:rsidP="002B34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DF4042">
        <w:rPr>
          <w:rFonts w:ascii="Arial" w:hAnsi="Arial"/>
          <w:sz w:val="24"/>
        </w:rPr>
        <w:t>1</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680657B3"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430682" w:rsidRPr="00430682">
        <w:rPr>
          <w:rFonts w:ascii="Arial" w:hAnsi="Arial"/>
          <w:sz w:val="24"/>
        </w:rPr>
        <w:t>Support of scheduling enhancements for SRS carrier switching</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77777777" w:rsidR="00D64908" w:rsidRDefault="00E20798" w:rsidP="00D64908">
      <w:pPr>
        <w:pStyle w:val="Heading1"/>
        <w:numPr>
          <w:ilvl w:val="0"/>
          <w:numId w:val="1"/>
        </w:numPr>
        <w:tabs>
          <w:tab w:val="clear" w:pos="1140"/>
          <w:tab w:val="num" w:pos="720"/>
        </w:tabs>
        <w:ind w:left="720" w:hanging="720"/>
        <w:jc w:val="both"/>
      </w:pPr>
      <w:r>
        <w:t>Background</w:t>
      </w:r>
    </w:p>
    <w:p w14:paraId="1E361BC9" w14:textId="79C4B78C" w:rsidR="00903B5A" w:rsidRDefault="00252636" w:rsidP="00903B5A">
      <w:r>
        <w:t xml:space="preserve">In Rel-14 discussion for SRS carrier switching, several mechanisms were discussed to avoid collision of SRS with </w:t>
      </w:r>
      <w:r w:rsidR="00D51EB2">
        <w:t xml:space="preserve">higher priority traffic – the main concern was about DL-heavy traffic that would trigger HARQ-ACK in almost every subframe, thus reducing the opportunity to </w:t>
      </w:r>
      <w:r w:rsidR="00544AB3">
        <w:t>transmit SRS. The following mechanisms were introduced:</w:t>
      </w:r>
    </w:p>
    <w:p w14:paraId="0AC267E7" w14:textId="11A6D990" w:rsidR="00544AB3" w:rsidRPr="00911ADA" w:rsidRDefault="00544AB3" w:rsidP="00903B5A">
      <w:pPr>
        <w:rPr>
          <w:lang w:val="en-US"/>
        </w:rPr>
      </w:pPr>
      <w:r w:rsidRPr="00544AB3">
        <w:t xml:space="preserve">- </w:t>
      </w:r>
      <w:r w:rsidRPr="00544AB3">
        <w:rPr>
          <w:u w:val="single"/>
        </w:rPr>
        <w:t>Use of a different HARQ-reference configuration:</w:t>
      </w:r>
      <w:r>
        <w:rPr>
          <w:u w:val="single"/>
        </w:rPr>
        <w:t xml:space="preserve"> </w:t>
      </w:r>
      <w:r>
        <w:t xml:space="preserve">This is enabled by RRC parameter </w:t>
      </w:r>
      <w:r w:rsidR="00911ADA" w:rsidRPr="00911ADA">
        <w:rPr>
          <w:i/>
        </w:rPr>
        <w:t>harq-ReferenceConfig-r14</w:t>
      </w:r>
      <w:r w:rsidR="00911ADA">
        <w:t xml:space="preserve">. The idea behind this parameter is to </w:t>
      </w:r>
      <w:r w:rsidR="00AE1F4E">
        <w:t>change the HARQ timing to reduce the amount of uplink subframes that are used for HARQ-ACK.</w:t>
      </w:r>
    </w:p>
    <w:p w14:paraId="0C2EB28F" w14:textId="175844C9" w:rsidR="00544AB3" w:rsidRPr="00AE1F4E" w:rsidRDefault="00544AB3" w:rsidP="00544AB3">
      <w:pPr>
        <w:rPr>
          <w:u w:val="single"/>
          <w:lang w:val="en-US"/>
        </w:rPr>
      </w:pPr>
      <w:r w:rsidRPr="00544AB3">
        <w:t xml:space="preserve">- </w:t>
      </w:r>
      <w:r>
        <w:rPr>
          <w:u w:val="single"/>
        </w:rPr>
        <w:t>Postponement of SRS when collides with HARQ-ACK:</w:t>
      </w:r>
      <w:r w:rsidR="00AE1F4E">
        <w:rPr>
          <w:u w:val="single"/>
        </w:rPr>
        <w:t xml:space="preserve"> </w:t>
      </w:r>
      <w:r w:rsidR="00AE1F4E" w:rsidRPr="00AE1F4E">
        <w:t xml:space="preserve">This is enabled by RRC parameter </w:t>
      </w:r>
      <w:r w:rsidR="00AE1F4E" w:rsidRPr="00AE1F4E">
        <w:rPr>
          <w:i/>
        </w:rPr>
        <w:t>soundingRS-FlexibleTiming-r14</w:t>
      </w:r>
      <w:r w:rsidR="00AE1F4E">
        <w:t>. When this is enabled, in case the SRS transmission collides with HARQ-ACK, the UE postpones the SRS transmission once until the next opportunity.</w:t>
      </w:r>
    </w:p>
    <w:p w14:paraId="0C948E92" w14:textId="0BEDE962" w:rsidR="00E20798" w:rsidRDefault="00E20798" w:rsidP="00A51CE3"/>
    <w:p w14:paraId="199769E3" w14:textId="2A4FA815" w:rsidR="00E20798" w:rsidRDefault="004D49C2" w:rsidP="00430682">
      <w:pPr>
        <w:pStyle w:val="Heading1"/>
        <w:numPr>
          <w:ilvl w:val="0"/>
          <w:numId w:val="1"/>
        </w:numPr>
        <w:tabs>
          <w:tab w:val="clear" w:pos="1140"/>
          <w:tab w:val="num" w:pos="720"/>
        </w:tabs>
        <w:ind w:left="720" w:hanging="720"/>
        <w:jc w:val="both"/>
      </w:pPr>
      <w:r>
        <w:t>IODT</w:t>
      </w:r>
    </w:p>
    <w:p w14:paraId="333CABCB" w14:textId="73972FD9" w:rsidR="00AE1F4E" w:rsidRDefault="00AE1F4E" w:rsidP="00AE1F4E">
      <w:r>
        <w:t>The two techniques above provide a framework to avoid collision with HARQ-ACK. The framework introduced by 3GPP, however, has the following issues:</w:t>
      </w:r>
    </w:p>
    <w:p w14:paraId="0A139CAF" w14:textId="6B6BC648" w:rsidR="00AE1F4E" w:rsidRDefault="00AE1F4E" w:rsidP="00AE1F4E">
      <w:r>
        <w:t>- It is unlikely that both mechanisms (in general) will be developed and deployed by the same operator/infra vendor.</w:t>
      </w:r>
    </w:p>
    <w:p w14:paraId="20A29F69" w14:textId="67591498" w:rsidR="00AE1F4E" w:rsidRDefault="00AE1F4E" w:rsidP="00AE1F4E">
      <w:r>
        <w:t xml:space="preserve">- For some cases (e.g. SRS switching transmission in </w:t>
      </w:r>
      <w:proofErr w:type="spellStart"/>
      <w:r>
        <w:t>UpPTS</w:t>
      </w:r>
      <w:proofErr w:type="spellEnd"/>
      <w:r>
        <w:t xml:space="preserve">) there may not be </w:t>
      </w:r>
      <w:r w:rsidR="009F67EB">
        <w:t>collision in the first place, and thus the introduced mechanisms may not be needed at all.</w:t>
      </w:r>
    </w:p>
    <w:p w14:paraId="7079C3DE" w14:textId="755A0B3C" w:rsidR="00AE1F4E" w:rsidRDefault="009F67EB" w:rsidP="00AE1F4E">
      <w:r>
        <w:t xml:space="preserve">- It is expected that initial deployments may not have all features implemented from </w:t>
      </w:r>
      <w:proofErr w:type="spellStart"/>
      <w:r>
        <w:t>eNB</w:t>
      </w:r>
      <w:proofErr w:type="spellEnd"/>
      <w:r>
        <w:t xml:space="preserve"> point of view, and thus the IODT opportunities for the mechanisms above may be reduced.</w:t>
      </w:r>
    </w:p>
    <w:p w14:paraId="1A6E0638" w14:textId="5B3CB6D7" w:rsidR="009F67EB" w:rsidRDefault="009F67EB" w:rsidP="00AE1F4E">
      <w:r>
        <w:t>The two features above are mandatory without UE capability signalling, and thus all UEs implementing SRS carrier switching shall support these as well. Implementing these features requires additional developing cost at the UE side, and testing may not be possible for initial deployments. Thus, we make the following proposal:</w:t>
      </w:r>
    </w:p>
    <w:p w14:paraId="607D4CC0" w14:textId="77777777" w:rsidR="009F67EB" w:rsidRDefault="009F67EB" w:rsidP="00AE1F4E"/>
    <w:p w14:paraId="078ECF6F" w14:textId="1FE63236" w:rsidR="00AE1F4E" w:rsidRPr="00AE1F4E" w:rsidRDefault="00AE1F4E" w:rsidP="00AE1F4E">
      <w:pPr>
        <w:rPr>
          <w:b/>
          <w:i/>
        </w:rPr>
      </w:pPr>
      <w:r w:rsidRPr="00AE1F4E">
        <w:rPr>
          <w:b/>
          <w:u w:val="single"/>
        </w:rPr>
        <w:t>Proposal:</w:t>
      </w:r>
      <w:r w:rsidRPr="00AE1F4E">
        <w:rPr>
          <w:b/>
        </w:rPr>
        <w:t xml:space="preserve"> Introduce UE capabilit</w:t>
      </w:r>
      <w:r w:rsidR="009F67EB">
        <w:rPr>
          <w:b/>
        </w:rPr>
        <w:t>y</w:t>
      </w:r>
      <w:r w:rsidRPr="00AE1F4E">
        <w:rPr>
          <w:b/>
        </w:rPr>
        <w:t xml:space="preserve"> to signal support of </w:t>
      </w:r>
      <w:r w:rsidRPr="00AE1F4E">
        <w:rPr>
          <w:b/>
          <w:i/>
        </w:rPr>
        <w:t>harq-ReferenceConfig-r14</w:t>
      </w:r>
      <w:r w:rsidRPr="00AE1F4E">
        <w:rPr>
          <w:b/>
        </w:rPr>
        <w:t xml:space="preserve"> and </w:t>
      </w:r>
      <w:r w:rsidRPr="00AE1F4E">
        <w:rPr>
          <w:b/>
          <w:i/>
        </w:rPr>
        <w:t>soundingRS-FlexibleTiming-r14</w:t>
      </w:r>
    </w:p>
    <w:p w14:paraId="788D832A" w14:textId="7ACAB452" w:rsidR="00AE1F4E" w:rsidRPr="00AE1F4E" w:rsidRDefault="00AE1F4E" w:rsidP="00AE1F4E">
      <w:pPr>
        <w:rPr>
          <w:b/>
        </w:rPr>
      </w:pPr>
      <w:r w:rsidRPr="00AE1F4E">
        <w:rPr>
          <w:b/>
        </w:rPr>
        <w:tab/>
        <w:t>- RAN1 to discuss whether a single capability or two capabilities are introduced</w:t>
      </w:r>
    </w:p>
    <w:sectPr w:rsidR="00AE1F4E" w:rsidRPr="00AE1F4E"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157B" w14:textId="77777777" w:rsidR="00DE50E7" w:rsidRDefault="00DE50E7">
      <w:pPr>
        <w:spacing w:after="0"/>
      </w:pPr>
      <w:r>
        <w:separator/>
      </w:r>
    </w:p>
  </w:endnote>
  <w:endnote w:type="continuationSeparator" w:id="0">
    <w:p w14:paraId="73231848" w14:textId="77777777" w:rsidR="00DE50E7" w:rsidRDefault="00DE5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D3CC" w14:textId="77777777" w:rsidR="00DE50E7" w:rsidRDefault="00DE50E7">
      <w:pPr>
        <w:spacing w:after="0"/>
      </w:pPr>
      <w:r>
        <w:separator/>
      </w:r>
    </w:p>
  </w:footnote>
  <w:footnote w:type="continuationSeparator" w:id="0">
    <w:p w14:paraId="25B6D9AA" w14:textId="77777777" w:rsidR="00DE50E7" w:rsidRDefault="00DE50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2"/>
  </w:num>
  <w:num w:numId="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6EDF"/>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0C90"/>
    <w:rsid w:val="002413F0"/>
    <w:rsid w:val="00242626"/>
    <w:rsid w:val="00243E6F"/>
    <w:rsid w:val="00252636"/>
    <w:rsid w:val="00262AE5"/>
    <w:rsid w:val="00264228"/>
    <w:rsid w:val="00264A5F"/>
    <w:rsid w:val="00270364"/>
    <w:rsid w:val="00293595"/>
    <w:rsid w:val="00296E4A"/>
    <w:rsid w:val="002A19EA"/>
    <w:rsid w:val="002A3D21"/>
    <w:rsid w:val="002A4C06"/>
    <w:rsid w:val="002B1A75"/>
    <w:rsid w:val="002B34D7"/>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3CF1"/>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0682"/>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BC0"/>
    <w:rsid w:val="004A1C28"/>
    <w:rsid w:val="004B5188"/>
    <w:rsid w:val="004B665D"/>
    <w:rsid w:val="004B7FF5"/>
    <w:rsid w:val="004C0A91"/>
    <w:rsid w:val="004C64DB"/>
    <w:rsid w:val="004C6EEF"/>
    <w:rsid w:val="004D1986"/>
    <w:rsid w:val="004D1B9F"/>
    <w:rsid w:val="004D49C2"/>
    <w:rsid w:val="004D69F6"/>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4AB3"/>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0626C"/>
    <w:rsid w:val="00910B4F"/>
    <w:rsid w:val="00911ADA"/>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7EB"/>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E1F4E"/>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07D1"/>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D90"/>
    <w:rsid w:val="00D23477"/>
    <w:rsid w:val="00D2517F"/>
    <w:rsid w:val="00D33C2B"/>
    <w:rsid w:val="00D4049E"/>
    <w:rsid w:val="00D42C77"/>
    <w:rsid w:val="00D47770"/>
    <w:rsid w:val="00D51EB2"/>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E50E7"/>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22D6"/>
    <w:rsid w:val="00EB32DB"/>
    <w:rsid w:val="00EC22D6"/>
    <w:rsid w:val="00ED78E4"/>
    <w:rsid w:val="00EE63DB"/>
    <w:rsid w:val="00EE727A"/>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08093049">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51114174">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598244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63922041">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1660523">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43F9A-ECC9-4975-B7B7-4AD95C37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 - 3</cp:lastModifiedBy>
  <cp:revision>18</cp:revision>
  <dcterms:created xsi:type="dcterms:W3CDTF">2018-11-01T16:54:00Z</dcterms:created>
  <dcterms:modified xsi:type="dcterms:W3CDTF">2019-03-30T02:15:00Z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